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right" w:pos="9639"/>
        </w:tabs>
        <w:jc w:val="center"/>
        <w:rPr>
          <w:rFonts w:cs="Arial" w:asciiTheme="minorHAnsi" w:hAnsiTheme="minorHAnsi"/>
          <w:szCs w:val="22"/>
        </w:rPr>
      </w:pPr>
      <w:r>
        <w:rPr>
          <w:rFonts w:cs="Arial" w:asciiTheme="minorHAnsi" w:hAnsiTheme="minorHAnsi"/>
          <w:sz w:val="28"/>
          <w:szCs w:val="28"/>
        </w:rPr>
        <w:t>COMPOSIÇÃO DE BDI E LEIS SOCIAIS</w:t>
      </w:r>
    </w:p>
    <w:p/>
    <w:p>
      <w:pPr>
        <w:rPr>
          <w:rFonts w:hint="default"/>
          <w:highlight w:val="none"/>
          <w:lang w:val="pt-BR"/>
        </w:rPr>
      </w:pPr>
      <w:r>
        <w:rPr>
          <w:b/>
          <w:bCs/>
          <w:sz w:val="24"/>
          <w:szCs w:val="24"/>
          <w:highlight w:val="none"/>
        </w:rPr>
        <w:t xml:space="preserve">REFERÊNCIA: </w:t>
      </w:r>
      <w:r>
        <w:rPr>
          <w:rFonts w:hint="default" w:ascii="Arial" w:hAnsi="Arial" w:eastAsia="Calibri" w:cs="Arial"/>
          <w:sz w:val="24"/>
          <w:szCs w:val="24"/>
          <w:highlight w:val="none"/>
          <w:lang w:val="pt-BR" w:eastAsia="en-US" w:bidi="ar-SA"/>
        </w:rPr>
        <w:t xml:space="preserve">Reforma e </w:t>
      </w:r>
      <w:r>
        <w:rPr>
          <w:rFonts w:hint="default" w:cs="Arial"/>
          <w:sz w:val="24"/>
          <w:szCs w:val="24"/>
          <w:highlight w:val="none"/>
          <w:lang w:val="pt-BR" w:eastAsia="en-US" w:bidi="ar-SA"/>
        </w:rPr>
        <w:t>Ampliação</w:t>
      </w:r>
      <w:r>
        <w:rPr>
          <w:rFonts w:hint="default" w:ascii="Arial" w:hAnsi="Arial" w:eastAsia="Calibri" w:cs="Arial"/>
          <w:sz w:val="24"/>
          <w:szCs w:val="24"/>
          <w:highlight w:val="none"/>
          <w:lang w:val="pt-BR" w:eastAsia="en-US" w:bidi="ar-SA"/>
        </w:rPr>
        <w:t xml:space="preserve"> da EM</w:t>
      </w:r>
      <w:r>
        <w:rPr>
          <w:rFonts w:hint="default" w:cs="Arial"/>
          <w:sz w:val="24"/>
          <w:szCs w:val="24"/>
          <w:highlight w:val="none"/>
          <w:lang w:val="pt-BR" w:eastAsia="en-US" w:bidi="ar-SA"/>
        </w:rPr>
        <w:t>PEIEF</w:t>
      </w:r>
      <w:r>
        <w:rPr>
          <w:rFonts w:hint="default" w:ascii="Arial" w:hAnsi="Arial" w:eastAsia="Calibri" w:cs="Arial"/>
          <w:sz w:val="24"/>
          <w:szCs w:val="24"/>
          <w:highlight w:val="none"/>
          <w:lang w:val="pt-BR" w:eastAsia="en-US" w:bidi="ar-SA"/>
        </w:rPr>
        <w:t xml:space="preserve"> </w:t>
      </w:r>
      <w:r>
        <w:rPr>
          <w:rFonts w:hint="default" w:cs="Arial"/>
          <w:sz w:val="24"/>
          <w:szCs w:val="24"/>
          <w:highlight w:val="none"/>
          <w:lang w:val="pt-BR" w:eastAsia="en-US" w:bidi="ar-SA"/>
        </w:rPr>
        <w:t>BARRACÃO DO RIO POSSMOSER.</w:t>
      </w:r>
    </w:p>
    <w:p>
      <w:r>
        <w:t xml:space="preserve">Declaramos, para os devidos fins, que os índices referentes às Leis Sociais utilizadas no Orçamento atendem ao estipulado na resolução do Conselho de Obras Públicas CEOP nº 001/2016, sendo a incidência de Encargos Sociais de 157,27% para horistas. A taxa de bonificação de Despesas Indiretas (BDI) </w:t>
      </w:r>
      <w:r>
        <w:rPr>
          <w:highlight w:val="none"/>
        </w:rPr>
        <w:t xml:space="preserve">está fixada </w:t>
      </w:r>
      <w:r>
        <w:rPr>
          <w:color w:val="auto"/>
          <w:highlight w:val="none"/>
        </w:rPr>
        <w:t xml:space="preserve">em </w:t>
      </w:r>
      <w:r>
        <w:rPr>
          <w:rFonts w:hint="default"/>
          <w:color w:val="auto"/>
          <w:highlight w:val="none"/>
          <w:lang w:val="pt-BR"/>
        </w:rPr>
        <w:t>31,96</w:t>
      </w:r>
      <w:r>
        <w:rPr>
          <w:color w:val="auto"/>
          <w:highlight w:val="none"/>
        </w:rPr>
        <w:t>%</w:t>
      </w:r>
      <w:r>
        <w:rPr>
          <w:highlight w:val="none"/>
        </w:rPr>
        <w:t xml:space="preserve"> (Tabela 1 - </w:t>
      </w:r>
      <w:r>
        <w:rPr>
          <w:rFonts w:hint="default"/>
          <w:highlight w:val="none"/>
          <w:lang w:val="pt-BR"/>
        </w:rPr>
        <w:t>2</w:t>
      </w:r>
      <w:r>
        <w:rPr>
          <w:highlight w:val="none"/>
        </w:rPr>
        <w:t xml:space="preserve">ª Faixa) </w:t>
      </w:r>
      <w:r>
        <w:t>para Obras de Edificações e 15,57% para aquisição de Materiais e Equipamentos, conforme Resolução TC Nº 329 de 24/09/2019.</w:t>
      </w:r>
    </w:p>
    <w:p/>
    <w:p>
      <w:pPr>
        <w:rPr>
          <w:color w:val="auto"/>
          <w:highlight w:val="none"/>
        </w:rPr>
      </w:pPr>
      <w:r>
        <w:rPr>
          <w:color w:val="auto"/>
          <w:highlight w:val="none"/>
        </w:rPr>
        <w:t xml:space="preserve">Os preços dos insumos e serviços utilizados na Planilha Orçamentária foram obtidos no Laboratório de Orçamento da Universidade Federal do Espírito Santo, com data base de </w:t>
      </w:r>
      <w:r>
        <w:rPr>
          <w:rFonts w:hint="default"/>
          <w:color w:val="auto"/>
          <w:highlight w:val="none"/>
          <w:lang w:val="pt-BR"/>
        </w:rPr>
        <w:t>Março</w:t>
      </w:r>
      <w:r>
        <w:rPr>
          <w:color w:val="auto"/>
          <w:highlight w:val="none"/>
        </w:rPr>
        <w:t>/202</w:t>
      </w:r>
      <w:r>
        <w:rPr>
          <w:rFonts w:hint="default"/>
          <w:color w:val="auto"/>
          <w:highlight w:val="none"/>
          <w:lang w:val="pt-BR"/>
        </w:rPr>
        <w:t>2</w:t>
      </w:r>
      <w:r>
        <w:rPr>
          <w:color w:val="auto"/>
          <w:highlight w:val="none"/>
        </w:rPr>
        <w:t>, definidos com base nas composições de custos elaboradas pela equipe técnica dessa Prefeitura.</w:t>
      </w:r>
    </w:p>
    <w:p/>
    <w:p>
      <w:pPr>
        <w:jc w:val="center"/>
        <w:rPr>
          <w:rFonts w:cs="Arial"/>
          <w:sz w:val="16"/>
          <w:szCs w:val="16"/>
        </w:rPr>
      </w:pPr>
      <w:r>
        <w:rPr>
          <w:rFonts w:cs="Arial"/>
          <w:lang w:eastAsia="pt-BR"/>
        </w:rPr>
        <w:drawing>
          <wp:inline distT="0" distB="0" distL="0" distR="0">
            <wp:extent cx="4161155" cy="5849620"/>
            <wp:effectExtent l="0" t="0" r="10795" b="17780"/>
            <wp:docPr id="1" name="Imagem 1" descr="Tabel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abel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155" cy="584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Arial"/>
        </w:rPr>
      </w:pPr>
      <w:r>
        <w:rPr>
          <w:rFonts w:cs="Arial"/>
          <w:sz w:val="16"/>
          <w:szCs w:val="16"/>
        </w:rPr>
        <w:t>Tabela 1 - Resolução TC Nº 329 de 24/09/2019 – BDI para obras de Saneamento Básico e demais obras.</w:t>
      </w:r>
    </w:p>
    <w:p>
      <w:pPr>
        <w:jc w:val="center"/>
        <w:rPr>
          <w:lang w:eastAsia="pt-BR"/>
        </w:rPr>
      </w:pPr>
      <w:r>
        <w:rPr>
          <w:lang w:eastAsia="pt-BR"/>
        </w:rPr>
        <w:drawing>
          <wp:inline distT="0" distB="0" distL="0" distR="0">
            <wp:extent cx="3858260" cy="6389370"/>
            <wp:effectExtent l="0" t="0" r="8890" b="1143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638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hint="default" w:cs="Arial"/>
          <w:lang w:val="pt-BR"/>
        </w:rPr>
        <w:t>Santa Maria de Jetibá</w:t>
      </w:r>
      <w:r>
        <w:rPr>
          <w:rFonts w:cs="Arial"/>
        </w:rPr>
        <w:t xml:space="preserve">, </w:t>
      </w:r>
      <w:r>
        <w:rPr>
          <w:rFonts w:hint="default" w:cs="Arial"/>
          <w:lang w:val="pt-BR"/>
        </w:rPr>
        <w:t>11 de Junho de 2022</w:t>
      </w:r>
      <w:bookmarkStart w:id="0" w:name="_GoBack"/>
      <w:bookmarkEnd w:id="0"/>
    </w:p>
    <w:p>
      <w:pPr>
        <w:pStyle w:val="15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>
      <w:pPr>
        <w:pStyle w:val="15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>
      <w:pPr>
        <w:pStyle w:val="15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hint="default" w:ascii="Arial" w:hAnsi="Arial" w:cs="Arial"/>
          <w:b/>
          <w:sz w:val="22"/>
          <w:szCs w:val="22"/>
          <w:highlight w:val="none"/>
          <w:lang w:val="pt-BR"/>
        </w:rPr>
      </w:pPr>
      <w:r>
        <w:rPr>
          <w:rFonts w:hint="default" w:ascii="Arial" w:hAnsi="Arial" w:cs="Arial"/>
          <w:b/>
          <w:sz w:val="22"/>
          <w:szCs w:val="22"/>
          <w:highlight w:val="none"/>
          <w:lang w:val="pt-BR"/>
        </w:rPr>
        <w:t>BRAYAN LUCAS DENARDI</w:t>
      </w:r>
    </w:p>
    <w:p>
      <w:pPr>
        <w:spacing w:after="0" w:line="240" w:lineRule="auto"/>
        <w:jc w:val="center"/>
        <w:rPr>
          <w:rFonts w:cs="Arial"/>
          <w:highlight w:val="none"/>
        </w:rPr>
      </w:pPr>
      <w:r>
        <w:rPr>
          <w:rFonts w:cs="Arial"/>
          <w:highlight w:val="none"/>
        </w:rPr>
        <w:t>Engenheiro Civil</w:t>
      </w:r>
    </w:p>
    <w:p>
      <w:pPr>
        <w:spacing w:after="0" w:line="240" w:lineRule="auto"/>
        <w:jc w:val="center"/>
        <w:rPr>
          <w:rFonts w:cs="Arial"/>
          <w:i/>
          <w:iCs/>
        </w:rPr>
      </w:pPr>
      <w:r>
        <w:rPr>
          <w:rFonts w:cs="Arial"/>
          <w:highlight w:val="none"/>
        </w:rPr>
        <w:t xml:space="preserve">CREA </w:t>
      </w:r>
      <w:r>
        <w:rPr>
          <w:rFonts w:hint="default" w:ascii="Arial" w:hAnsi="Arial" w:eastAsia="Calibri" w:cs="Arial"/>
          <w:sz w:val="24"/>
          <w:szCs w:val="24"/>
          <w:highlight w:val="none"/>
          <w:lang w:val="pt-BR" w:eastAsia="en-US" w:bidi="ar-SA"/>
        </w:rPr>
        <w:t>ES-004</w:t>
      </w:r>
      <w:r>
        <w:rPr>
          <w:rFonts w:hint="default" w:cs="Arial"/>
          <w:sz w:val="24"/>
          <w:szCs w:val="24"/>
          <w:highlight w:val="none"/>
          <w:lang w:val="pt-BR" w:eastAsia="en-US" w:bidi="ar-SA"/>
        </w:rPr>
        <w:t>8696</w:t>
      </w:r>
      <w:r>
        <w:rPr>
          <w:rFonts w:hint="default" w:ascii="Arial" w:hAnsi="Arial" w:eastAsia="Calibri" w:cs="Arial"/>
          <w:sz w:val="24"/>
          <w:szCs w:val="24"/>
          <w:highlight w:val="none"/>
          <w:lang w:val="pt-BR" w:eastAsia="en-US" w:bidi="ar-SA"/>
        </w:rPr>
        <w:t>/D</w:t>
      </w:r>
    </w:p>
    <w:sectPr>
      <w:headerReference r:id="rId5" w:type="default"/>
      <w:footerReference r:id="rId6" w:type="default"/>
      <w:type w:val="continuous"/>
      <w:pgSz w:w="11906" w:h="16838"/>
      <w:pgMar w:top="2268" w:right="1134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Old English Text MT">
    <w:altName w:val="Mongolian Baiti"/>
    <w:panose1 w:val="03040902040508030806"/>
    <w:charset w:val="00"/>
    <w:family w:val="script"/>
    <w:pitch w:val="default"/>
    <w:sig w:usb0="00000000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hint="default"/>
        <w:lang w:val="pt-BR"/>
      </w:rPr>
    </w:pPr>
    <w:sdt>
      <w:sdtPr>
        <w:id w:val="7612210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sdtContent>
    </w:sdt>
    <w:r>
      <w:t xml:space="preserve"> de </w:t>
    </w:r>
    <w:r>
      <w:rPr>
        <w:rFonts w:hint="default"/>
        <w:lang w:val="pt-BR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240" w:lineRule="auto"/>
      <w:jc w:val="center"/>
      <w:rPr>
        <w:rFonts w:ascii="Old English Text MT" w:hAnsi="Old English Text MT"/>
        <w:bCs/>
        <w:sz w:val="40"/>
        <w:szCs w:val="40"/>
      </w:rPr>
    </w:pPr>
    <w:r>
      <w:rPr>
        <w:lang w:val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-545465</wp:posOffset>
          </wp:positionH>
          <wp:positionV relativeFrom="paragraph">
            <wp:posOffset>113030</wp:posOffset>
          </wp:positionV>
          <wp:extent cx="797560" cy="1093470"/>
          <wp:effectExtent l="0" t="0" r="2540" b="11430"/>
          <wp:wrapNone/>
          <wp:docPr id="4" name="Imagem 4" descr="BRASÃO SEM FU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BRASÃO SEM FUND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7560" cy="1093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ld English Text MT" w:hAnsi="Old English Text MT"/>
        <w:bCs/>
        <w:sz w:val="40"/>
        <w:szCs w:val="40"/>
        <w:lang w:val="pt-BR"/>
      </w:rPr>
      <w:t xml:space="preserve">Prefeitura Municipal </w:t>
    </w:r>
    <w:r>
      <w:rPr>
        <w:rFonts w:ascii="Old English Text MT" w:hAnsi="Old English Text MT"/>
        <w:bCs/>
        <w:sz w:val="40"/>
        <w:szCs w:val="40"/>
      </w:rPr>
      <w:t>de Santa Maria de Jetibá</w:t>
    </w:r>
  </w:p>
  <w:p>
    <w:pPr>
      <w:pStyle w:val="5"/>
      <w:spacing w:line="240" w:lineRule="auto"/>
      <w:rPr>
        <w:rFonts w:hint="default" w:ascii="Arial" w:hAnsi="Arial" w:cs="Arial"/>
        <w:bCs/>
        <w:sz w:val="10"/>
        <w:szCs w:val="10"/>
        <w:lang w:val="pt-BR"/>
      </w:rPr>
    </w:pPr>
  </w:p>
  <w:p>
    <w:pPr>
      <w:pStyle w:val="5"/>
      <w:spacing w:line="240" w:lineRule="auto"/>
      <w:rPr>
        <w:rFonts w:hint="default" w:ascii="Arial" w:hAnsi="Arial" w:cs="Arial"/>
        <w:bCs/>
        <w:sz w:val="18"/>
        <w:szCs w:val="18"/>
        <w:lang w:val="pt-BR"/>
      </w:rPr>
    </w:pPr>
    <w:r>
      <w:rPr>
        <w:rFonts w:hint="default" w:ascii="Arial" w:hAnsi="Arial" w:cs="Arial"/>
        <w:bCs/>
        <w:sz w:val="18"/>
        <w:szCs w:val="18"/>
        <w:lang w:val="pt-BR"/>
      </w:rPr>
      <w:t xml:space="preserve">ESTADO DO ESPÍRITO SANTO </w:t>
    </w:r>
  </w:p>
  <w:p>
    <w:pPr>
      <w:spacing w:line="240" w:lineRule="auto"/>
      <w:jc w:val="center"/>
      <w:rPr>
        <w:rFonts w:ascii="Old English Text MT" w:hAnsi="Old English Text MT"/>
        <w:bCs/>
        <w:sz w:val="40"/>
        <w:szCs w:val="40"/>
      </w:rPr>
    </w:pPr>
    <w:r>
      <w:rPr>
        <w:rFonts w:ascii="Old English Text MT" w:hAnsi="Old English Text MT"/>
        <w:bCs/>
        <w:sz w:val="40"/>
        <w:szCs w:val="40"/>
        <w:lang w:val="pt-BR"/>
      </w:rPr>
      <w:t xml:space="preserve"> </w:t>
    </w:r>
    <w:r>
      <w:rPr>
        <w:rFonts w:ascii="Old English Text MT" w:hAnsi="Old English Text MT"/>
        <w:bCs/>
        <w:sz w:val="40"/>
        <w:szCs w:val="40"/>
      </w:rPr>
      <w:t>Secretaria de Educação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C91FAE"/>
    <w:multiLevelType w:val="multilevel"/>
    <w:tmpl w:val="77C91FAE"/>
    <w:lvl w:ilvl="0" w:tentative="0">
      <w:start w:val="1"/>
      <w:numFmt w:val="decimal"/>
      <w:pStyle w:val="15"/>
      <w:lvlText w:val="%1 -"/>
      <w:lvlJc w:val="right"/>
      <w:pPr>
        <w:tabs>
          <w:tab w:val="left" w:pos="568"/>
        </w:tabs>
        <w:ind w:left="568" w:hanging="279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.%2 - "/>
      <w:lvlJc w:val="right"/>
      <w:pPr>
        <w:ind w:left="852" w:firstLine="0"/>
      </w:pPr>
      <w:rPr>
        <w:rFonts w:hint="default" w:ascii="Times New Roman" w:hAnsi="Times New Roman" w:cs="Times New Roman"/>
        <w:b w:val="0"/>
        <w:i w:val="0"/>
        <w:color w:val="auto"/>
        <w:sz w:val="24"/>
        <w:szCs w:val="24"/>
      </w:rPr>
    </w:lvl>
    <w:lvl w:ilvl="2" w:tentative="0">
      <w:start w:val="1"/>
      <w:numFmt w:val="decimal"/>
      <w:suff w:val="nothing"/>
      <w:lvlText w:val="%1.%2.%3 - "/>
      <w:lvlJc w:val="left"/>
      <w:pPr>
        <w:ind w:left="1531" w:hanging="810"/>
      </w:pPr>
      <w:rPr>
        <w:rFonts w:hint="default" w:ascii="Times New (W1)" w:hAnsi="Times New (W1)" w:cs="Times New (W1)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- "/>
      <w:lvlJc w:val="left"/>
      <w:pPr>
        <w:ind w:left="1729" w:hanging="648"/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2521"/>
        </w:tabs>
        <w:ind w:left="2233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2881"/>
        </w:tabs>
        <w:ind w:left="2737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1"/>
        </w:tabs>
        <w:ind w:left="3241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1"/>
        </w:tabs>
        <w:ind w:left="3745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1"/>
        </w:tabs>
        <w:ind w:left="4321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6E"/>
    <w:rsid w:val="00005D2C"/>
    <w:rsid w:val="00016C3A"/>
    <w:rsid w:val="000351E6"/>
    <w:rsid w:val="00043ECD"/>
    <w:rsid w:val="000548D4"/>
    <w:rsid w:val="00062161"/>
    <w:rsid w:val="0006574C"/>
    <w:rsid w:val="00087285"/>
    <w:rsid w:val="00087779"/>
    <w:rsid w:val="000C633F"/>
    <w:rsid w:val="000D2BEE"/>
    <w:rsid w:val="000D48CB"/>
    <w:rsid w:val="000E3DD8"/>
    <w:rsid w:val="000F0797"/>
    <w:rsid w:val="001169A8"/>
    <w:rsid w:val="001329C3"/>
    <w:rsid w:val="00160257"/>
    <w:rsid w:val="00170198"/>
    <w:rsid w:val="00177AF3"/>
    <w:rsid w:val="0018079E"/>
    <w:rsid w:val="00190FCF"/>
    <w:rsid w:val="001939E1"/>
    <w:rsid w:val="00196032"/>
    <w:rsid w:val="001A33DF"/>
    <w:rsid w:val="001B6165"/>
    <w:rsid w:val="001B719C"/>
    <w:rsid w:val="001C0577"/>
    <w:rsid w:val="001C3492"/>
    <w:rsid w:val="001E758D"/>
    <w:rsid w:val="00222161"/>
    <w:rsid w:val="002512FB"/>
    <w:rsid w:val="0026233C"/>
    <w:rsid w:val="00263760"/>
    <w:rsid w:val="002642A0"/>
    <w:rsid w:val="002668DD"/>
    <w:rsid w:val="002856EC"/>
    <w:rsid w:val="00287B03"/>
    <w:rsid w:val="002932D5"/>
    <w:rsid w:val="00294716"/>
    <w:rsid w:val="002A51AA"/>
    <w:rsid w:val="002E3655"/>
    <w:rsid w:val="002F3CD7"/>
    <w:rsid w:val="00330275"/>
    <w:rsid w:val="003412D8"/>
    <w:rsid w:val="003730D7"/>
    <w:rsid w:val="00383937"/>
    <w:rsid w:val="003A58B8"/>
    <w:rsid w:val="003B252B"/>
    <w:rsid w:val="003C0D76"/>
    <w:rsid w:val="003E724A"/>
    <w:rsid w:val="003E7507"/>
    <w:rsid w:val="004007B7"/>
    <w:rsid w:val="00421FDB"/>
    <w:rsid w:val="00432966"/>
    <w:rsid w:val="00432D19"/>
    <w:rsid w:val="00441B9F"/>
    <w:rsid w:val="00442ABB"/>
    <w:rsid w:val="004446A4"/>
    <w:rsid w:val="0046489B"/>
    <w:rsid w:val="004717F9"/>
    <w:rsid w:val="00471FD5"/>
    <w:rsid w:val="00477978"/>
    <w:rsid w:val="004B27C4"/>
    <w:rsid w:val="004D15B5"/>
    <w:rsid w:val="004D29FA"/>
    <w:rsid w:val="004D4749"/>
    <w:rsid w:val="004D57A2"/>
    <w:rsid w:val="0051046D"/>
    <w:rsid w:val="00551B39"/>
    <w:rsid w:val="005619B5"/>
    <w:rsid w:val="0056541E"/>
    <w:rsid w:val="00580ABA"/>
    <w:rsid w:val="00590472"/>
    <w:rsid w:val="005936C2"/>
    <w:rsid w:val="005A6BBA"/>
    <w:rsid w:val="005A6C0B"/>
    <w:rsid w:val="005E1C4C"/>
    <w:rsid w:val="00602CC2"/>
    <w:rsid w:val="00621EE7"/>
    <w:rsid w:val="006268A7"/>
    <w:rsid w:val="006441BA"/>
    <w:rsid w:val="00660BB4"/>
    <w:rsid w:val="00670127"/>
    <w:rsid w:val="00674B46"/>
    <w:rsid w:val="006764C2"/>
    <w:rsid w:val="00684E9F"/>
    <w:rsid w:val="0069357F"/>
    <w:rsid w:val="00693E89"/>
    <w:rsid w:val="006A52F2"/>
    <w:rsid w:val="006C201C"/>
    <w:rsid w:val="006C2668"/>
    <w:rsid w:val="006D2C24"/>
    <w:rsid w:val="006D6FD2"/>
    <w:rsid w:val="006D7CF3"/>
    <w:rsid w:val="0070490E"/>
    <w:rsid w:val="00717FCF"/>
    <w:rsid w:val="00721952"/>
    <w:rsid w:val="00727540"/>
    <w:rsid w:val="00727DF1"/>
    <w:rsid w:val="00746088"/>
    <w:rsid w:val="007626FE"/>
    <w:rsid w:val="007757B8"/>
    <w:rsid w:val="007B170C"/>
    <w:rsid w:val="007C5937"/>
    <w:rsid w:val="007F0FA3"/>
    <w:rsid w:val="007F21A1"/>
    <w:rsid w:val="007F709A"/>
    <w:rsid w:val="00801B2A"/>
    <w:rsid w:val="0080401D"/>
    <w:rsid w:val="008277DB"/>
    <w:rsid w:val="008367E2"/>
    <w:rsid w:val="00861D9C"/>
    <w:rsid w:val="00864B6E"/>
    <w:rsid w:val="00890941"/>
    <w:rsid w:val="008B70E6"/>
    <w:rsid w:val="008C72BD"/>
    <w:rsid w:val="008F45F2"/>
    <w:rsid w:val="008F7DD0"/>
    <w:rsid w:val="00944A63"/>
    <w:rsid w:val="00946EF7"/>
    <w:rsid w:val="009507D0"/>
    <w:rsid w:val="00960AB9"/>
    <w:rsid w:val="00960ACA"/>
    <w:rsid w:val="0099677A"/>
    <w:rsid w:val="00997C37"/>
    <w:rsid w:val="009A3E63"/>
    <w:rsid w:val="009A76F2"/>
    <w:rsid w:val="009B1131"/>
    <w:rsid w:val="009D23E8"/>
    <w:rsid w:val="009E350C"/>
    <w:rsid w:val="009E5BA1"/>
    <w:rsid w:val="009F351F"/>
    <w:rsid w:val="009F3A15"/>
    <w:rsid w:val="00A048E8"/>
    <w:rsid w:val="00A51E4E"/>
    <w:rsid w:val="00A55977"/>
    <w:rsid w:val="00A629C9"/>
    <w:rsid w:val="00A84C0A"/>
    <w:rsid w:val="00A8617C"/>
    <w:rsid w:val="00AA0671"/>
    <w:rsid w:val="00AA6AB8"/>
    <w:rsid w:val="00AC2082"/>
    <w:rsid w:val="00AD126C"/>
    <w:rsid w:val="00AD43AF"/>
    <w:rsid w:val="00AE3CDF"/>
    <w:rsid w:val="00AF3AD4"/>
    <w:rsid w:val="00AF508C"/>
    <w:rsid w:val="00B05422"/>
    <w:rsid w:val="00B05C64"/>
    <w:rsid w:val="00B1029E"/>
    <w:rsid w:val="00B15DC1"/>
    <w:rsid w:val="00B20EF9"/>
    <w:rsid w:val="00B54F0E"/>
    <w:rsid w:val="00B9521D"/>
    <w:rsid w:val="00BB7ACA"/>
    <w:rsid w:val="00BC1100"/>
    <w:rsid w:val="00BC4305"/>
    <w:rsid w:val="00BE4396"/>
    <w:rsid w:val="00BF674E"/>
    <w:rsid w:val="00C01426"/>
    <w:rsid w:val="00C0523B"/>
    <w:rsid w:val="00C15C7E"/>
    <w:rsid w:val="00C166C9"/>
    <w:rsid w:val="00C16805"/>
    <w:rsid w:val="00C1797F"/>
    <w:rsid w:val="00C31BAA"/>
    <w:rsid w:val="00C5155B"/>
    <w:rsid w:val="00C52982"/>
    <w:rsid w:val="00C61BB0"/>
    <w:rsid w:val="00C62376"/>
    <w:rsid w:val="00C72104"/>
    <w:rsid w:val="00C96D92"/>
    <w:rsid w:val="00CD387D"/>
    <w:rsid w:val="00CE250E"/>
    <w:rsid w:val="00CE2D09"/>
    <w:rsid w:val="00CE3797"/>
    <w:rsid w:val="00CE404A"/>
    <w:rsid w:val="00D02AD3"/>
    <w:rsid w:val="00D17C51"/>
    <w:rsid w:val="00D20CAF"/>
    <w:rsid w:val="00D37836"/>
    <w:rsid w:val="00D41D74"/>
    <w:rsid w:val="00D56956"/>
    <w:rsid w:val="00D64FFC"/>
    <w:rsid w:val="00D7323F"/>
    <w:rsid w:val="00D735AD"/>
    <w:rsid w:val="00D738E3"/>
    <w:rsid w:val="00D752EB"/>
    <w:rsid w:val="00D80C97"/>
    <w:rsid w:val="00D8266F"/>
    <w:rsid w:val="00D9608E"/>
    <w:rsid w:val="00DA4042"/>
    <w:rsid w:val="00DB1663"/>
    <w:rsid w:val="00DC7DF8"/>
    <w:rsid w:val="00DD28D7"/>
    <w:rsid w:val="00DE41B1"/>
    <w:rsid w:val="00DF11D4"/>
    <w:rsid w:val="00E034C5"/>
    <w:rsid w:val="00E056E2"/>
    <w:rsid w:val="00E22F4A"/>
    <w:rsid w:val="00E246E6"/>
    <w:rsid w:val="00E32984"/>
    <w:rsid w:val="00E44013"/>
    <w:rsid w:val="00E44686"/>
    <w:rsid w:val="00E500BA"/>
    <w:rsid w:val="00E505A9"/>
    <w:rsid w:val="00E5545D"/>
    <w:rsid w:val="00E70ABF"/>
    <w:rsid w:val="00E836C9"/>
    <w:rsid w:val="00E8461D"/>
    <w:rsid w:val="00E92C79"/>
    <w:rsid w:val="00EA0FBD"/>
    <w:rsid w:val="00EA111F"/>
    <w:rsid w:val="00EA79A1"/>
    <w:rsid w:val="00ED2D62"/>
    <w:rsid w:val="00ED2E2B"/>
    <w:rsid w:val="00F04A64"/>
    <w:rsid w:val="00F0722B"/>
    <w:rsid w:val="00F134F8"/>
    <w:rsid w:val="00F153BD"/>
    <w:rsid w:val="00F15551"/>
    <w:rsid w:val="00F163CF"/>
    <w:rsid w:val="00F2532E"/>
    <w:rsid w:val="00F32E7D"/>
    <w:rsid w:val="00F41CA0"/>
    <w:rsid w:val="00F430BB"/>
    <w:rsid w:val="00F46F8B"/>
    <w:rsid w:val="00F7074E"/>
    <w:rsid w:val="00F708E1"/>
    <w:rsid w:val="00F7629F"/>
    <w:rsid w:val="00F81050"/>
    <w:rsid w:val="00F83D0A"/>
    <w:rsid w:val="00F86D41"/>
    <w:rsid w:val="00FA386D"/>
    <w:rsid w:val="00FB5897"/>
    <w:rsid w:val="00FC034C"/>
    <w:rsid w:val="00FC708C"/>
    <w:rsid w:val="00FD04F2"/>
    <w:rsid w:val="00FD51E7"/>
    <w:rsid w:val="00FE0F7C"/>
    <w:rsid w:val="00FF578B"/>
    <w:rsid w:val="4C934DAD"/>
    <w:rsid w:val="6D1E4986"/>
    <w:rsid w:val="7C67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4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360" w:lineRule="auto"/>
      <w:jc w:val="both"/>
    </w:pPr>
    <w:rPr>
      <w:rFonts w:ascii="Arial" w:hAnsi="Arial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/>
      <w:b/>
      <w:szCs w:val="20"/>
      <w:lang w:eastAsia="pt-B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itle"/>
    <w:basedOn w:val="1"/>
    <w:qFormat/>
    <w:uiPriority w:val="0"/>
    <w:pPr>
      <w:jc w:val="center"/>
    </w:pPr>
    <w:rPr>
      <w:rFonts w:ascii="Bookman Old Style" w:hAnsi="Bookman Old Style"/>
      <w:sz w:val="32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paragraph" w:styleId="8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 w:eastAsiaTheme="minorHAnsi"/>
      <w:sz w:val="16"/>
      <w:szCs w:val="16"/>
    </w:rPr>
  </w:style>
  <w:style w:type="table" w:styleId="9">
    <w:name w:val="Table Grid"/>
    <w:basedOn w:val="4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pt-B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Cabeçalho Char"/>
    <w:basedOn w:val="3"/>
    <w:link w:val="6"/>
    <w:qFormat/>
    <w:uiPriority w:val="99"/>
  </w:style>
  <w:style w:type="character" w:customStyle="1" w:styleId="11">
    <w:name w:val="Rodapé Char"/>
    <w:basedOn w:val="3"/>
    <w:link w:val="7"/>
    <w:qFormat/>
    <w:uiPriority w:val="99"/>
  </w:style>
  <w:style w:type="character" w:customStyle="1" w:styleId="12">
    <w:name w:val="Texto de balão Char"/>
    <w:basedOn w:val="3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Título 1 Char"/>
    <w:basedOn w:val="3"/>
    <w:link w:val="2"/>
    <w:uiPriority w:val="0"/>
    <w:rPr>
      <w:rFonts w:ascii="Times New Roman" w:hAnsi="Times New Roman" w:eastAsia="Times New Roman" w:cs="Times New Roman"/>
      <w:b/>
      <w:szCs w:val="20"/>
      <w:lang w:eastAsia="pt-BR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customStyle="1" w:styleId="15">
    <w:name w:val="Números Principais"/>
    <w:basedOn w:val="1"/>
    <w:qFormat/>
    <w:uiPriority w:val="0"/>
    <w:pPr>
      <w:numPr>
        <w:ilvl w:val="0"/>
        <w:numId w:val="1"/>
      </w:numPr>
      <w:spacing w:before="120" w:after="240" w:line="240" w:lineRule="auto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16">
    <w:name w:val="No Spacing"/>
    <w:qFormat/>
    <w:uiPriority w:val="4"/>
    <w:pPr>
      <w:spacing w:after="0" w:line="240" w:lineRule="auto"/>
      <w:jc w:val="center"/>
    </w:pPr>
    <w:rPr>
      <w:rFonts w:ascii="Arial" w:hAnsi="Arial" w:eastAsia="Calibri" w:cs="Times New Roman"/>
      <w:sz w:val="22"/>
      <w:szCs w:val="22"/>
      <w:lang w:val="pt-B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6D333-0F40-4950-A08E-3428E391B3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176</Words>
  <Characters>956</Characters>
  <Lines>7</Lines>
  <Paragraphs>2</Paragraphs>
  <TotalTime>6</TotalTime>
  <ScaleCrop>false</ScaleCrop>
  <LinksUpToDate>false</LinksUpToDate>
  <CharactersWithSpaces>1130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2018-04-19T13:35:00Z</dcterms:created>
  <dc:creator>soraia.osorio</dc:creator>
  <cp:lastModifiedBy>User</cp:lastModifiedBy>
  <cp:lastPrinted>2022-07-26T16:31:26Z</cp:lastPrinted>
  <dcterms:modified xsi:type="dcterms:W3CDTF">2022-07-26T16:33:41Z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1046-11.2.0.11191</vt:lpwstr>
  </property>
  <property fmtid="{D5CDD505-2E9C-101B-9397-08002B2CF9AE}" pid="3" name="ICV">
    <vt:lpwstr>6FEBBBD942AB4D199AD97EFFB8C27EFB</vt:lpwstr>
  </property>
</Properties>
</file>